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BB" w:rsidRDefault="00C510BB" w:rsidP="00C510BB">
      <w:pPr>
        <w:jc w:val="center"/>
        <w:rPr>
          <w:b/>
          <w:sz w:val="23"/>
          <w:szCs w:val="23"/>
        </w:rPr>
      </w:pPr>
      <w:bookmarkStart w:id="0" w:name="_GoBack"/>
      <w:bookmarkEnd w:id="0"/>
    </w:p>
    <w:p w:rsidR="00C510BB" w:rsidRPr="00C13CA5" w:rsidRDefault="00C510BB" w:rsidP="00C510BB">
      <w:pPr>
        <w:jc w:val="center"/>
        <w:rPr>
          <w:sz w:val="19"/>
          <w:szCs w:val="19"/>
        </w:rPr>
      </w:pPr>
      <w:r>
        <w:rPr>
          <w:b/>
          <w:sz w:val="23"/>
          <w:szCs w:val="23"/>
        </w:rPr>
        <w:t>PARENT NOTIFICATION LETTER</w:t>
      </w:r>
    </w:p>
    <w:p w:rsidR="00C510BB" w:rsidRDefault="00C510BB" w:rsidP="00C510BB">
      <w:pPr>
        <w:ind w:right="-360"/>
        <w:jc w:val="center"/>
        <w:rPr>
          <w:b/>
          <w:i/>
        </w:rPr>
      </w:pPr>
    </w:p>
    <w:p w:rsidR="00C510BB" w:rsidRPr="00E500E3" w:rsidRDefault="00AD5D2C" w:rsidP="00C510BB">
      <w:pPr>
        <w:ind w:right="-360"/>
        <w:jc w:val="center"/>
        <w:rPr>
          <w:b/>
          <w:i/>
        </w:rPr>
      </w:pPr>
      <w:r>
        <w:rPr>
          <w:b/>
          <w:i/>
        </w:rPr>
        <w:t>July 29</w:t>
      </w:r>
      <w:r w:rsidR="000C7838">
        <w:rPr>
          <w:b/>
          <w:i/>
        </w:rPr>
        <w:t>, 2016</w:t>
      </w:r>
    </w:p>
    <w:p w:rsidR="00612E16" w:rsidRDefault="00612E16" w:rsidP="00417E66"/>
    <w:p w:rsidR="00485F3E" w:rsidRPr="00C510BB" w:rsidRDefault="00485F3E" w:rsidP="00485F3E">
      <w:pPr>
        <w:rPr>
          <w:sz w:val="22"/>
          <w:szCs w:val="22"/>
        </w:rPr>
      </w:pPr>
      <w:r w:rsidRPr="00C510BB">
        <w:rPr>
          <w:sz w:val="22"/>
          <w:szCs w:val="22"/>
        </w:rPr>
        <w:t>Dear Parent(s)/Guardian(s):</w:t>
      </w:r>
    </w:p>
    <w:p w:rsidR="00C510BB" w:rsidRPr="00C510BB" w:rsidRDefault="00C510BB" w:rsidP="00C510BB">
      <w:pPr>
        <w:rPr>
          <w:sz w:val="22"/>
          <w:szCs w:val="22"/>
        </w:rPr>
      </w:pPr>
    </w:p>
    <w:p w:rsidR="00C510BB" w:rsidRPr="00C510BB" w:rsidRDefault="00C510BB" w:rsidP="00C510BB">
      <w:pPr>
        <w:rPr>
          <w:sz w:val="22"/>
          <w:szCs w:val="22"/>
        </w:rPr>
      </w:pPr>
      <w:r w:rsidRPr="00C510BB">
        <w:rPr>
          <w:color w:val="000000"/>
          <w:sz w:val="22"/>
          <w:szCs w:val="22"/>
        </w:rPr>
        <w:t xml:space="preserve">This letter is to inform you </w:t>
      </w:r>
      <w:r w:rsidRPr="00C510BB">
        <w:rPr>
          <w:sz w:val="22"/>
          <w:szCs w:val="22"/>
        </w:rPr>
        <w:t xml:space="preserve">that </w:t>
      </w:r>
      <w:r w:rsidRPr="00C510BB">
        <w:rPr>
          <w:b/>
          <w:sz w:val="22"/>
          <w:szCs w:val="22"/>
          <w:u w:val="single"/>
        </w:rPr>
        <w:t xml:space="preserve">Davis Elementary School </w:t>
      </w:r>
      <w:r w:rsidRPr="00C510BB">
        <w:rPr>
          <w:sz w:val="22"/>
          <w:szCs w:val="22"/>
        </w:rPr>
        <w:t>has been identified as a:</w:t>
      </w:r>
    </w:p>
    <w:p w:rsidR="00C510BB" w:rsidRPr="00C510BB" w:rsidRDefault="00C510BB" w:rsidP="00C510BB">
      <w:pPr>
        <w:rPr>
          <w:sz w:val="22"/>
          <w:szCs w:val="22"/>
        </w:rPr>
      </w:pPr>
    </w:p>
    <w:p w:rsidR="00C510BB" w:rsidRPr="00C510BB" w:rsidRDefault="00C510BB" w:rsidP="00C510BB">
      <w:pPr>
        <w:tabs>
          <w:tab w:val="left" w:pos="720"/>
          <w:tab w:val="left" w:pos="3600"/>
          <w:tab w:val="left" w:pos="6480"/>
        </w:tabs>
        <w:jc w:val="center"/>
        <w:rPr>
          <w:sz w:val="22"/>
          <w:szCs w:val="22"/>
        </w:rPr>
      </w:pPr>
      <w:r w:rsidRPr="00C510BB">
        <w:rPr>
          <w:sz w:val="22"/>
          <w:szCs w:val="22"/>
        </w:rPr>
        <w:t>Priority School</w:t>
      </w:r>
      <w:r w:rsidRPr="00C510BB">
        <w:rPr>
          <w:sz w:val="22"/>
          <w:szCs w:val="22"/>
        </w:rPr>
        <w:tab/>
      </w:r>
      <w:r w:rsidRPr="00C510BB">
        <w:rPr>
          <w:rFonts w:ascii="Wingdings 2" w:hAnsi="Wingdings 2"/>
          <w:b/>
          <w:sz w:val="22"/>
          <w:szCs w:val="22"/>
        </w:rPr>
        <w:t></w:t>
      </w:r>
      <w:r w:rsidRPr="00C510BB">
        <w:rPr>
          <w:b/>
          <w:sz w:val="22"/>
          <w:szCs w:val="22"/>
        </w:rPr>
        <w:t>Focus School</w:t>
      </w:r>
      <w:r w:rsidRPr="00C510BB">
        <w:rPr>
          <w:sz w:val="22"/>
          <w:szCs w:val="22"/>
        </w:rPr>
        <w:tab/>
        <w:t>Reward School</w:t>
      </w:r>
    </w:p>
    <w:p w:rsidR="00485F3E" w:rsidRPr="00C510BB" w:rsidRDefault="00485F3E" w:rsidP="00485F3E">
      <w:pPr>
        <w:rPr>
          <w:sz w:val="22"/>
          <w:szCs w:val="22"/>
        </w:rPr>
      </w:pPr>
    </w:p>
    <w:p w:rsidR="00485F3E" w:rsidRPr="00C510BB" w:rsidRDefault="000C7838" w:rsidP="00485F3E">
      <w:pPr>
        <w:rPr>
          <w:sz w:val="22"/>
          <w:szCs w:val="22"/>
        </w:rPr>
      </w:pPr>
      <w:r>
        <w:rPr>
          <w:sz w:val="22"/>
          <w:szCs w:val="22"/>
        </w:rPr>
        <w:t>The Every Student Succeeds Act (ESSA) of 201</w:t>
      </w:r>
      <w:r w:rsidR="00485F3E" w:rsidRPr="00C510BB">
        <w:rPr>
          <w:sz w:val="22"/>
          <w:szCs w:val="22"/>
        </w:rPr>
        <w:t>5 requires that parents or guardians who have children attending a Title I school be notified of how well their school is preparing its students for college and/or a career, as well as the school’s des</w:t>
      </w:r>
      <w:r w:rsidR="008D11E6">
        <w:rPr>
          <w:sz w:val="22"/>
          <w:szCs w:val="22"/>
        </w:rPr>
        <w:t xml:space="preserve">ignation status under Georgia’s </w:t>
      </w:r>
      <w:r w:rsidR="00E62E2B">
        <w:rPr>
          <w:sz w:val="22"/>
          <w:szCs w:val="22"/>
        </w:rPr>
        <w:t>ESE</w:t>
      </w:r>
      <w:r w:rsidR="00485F3E" w:rsidRPr="00C510BB">
        <w:rPr>
          <w:sz w:val="22"/>
          <w:szCs w:val="22"/>
        </w:rPr>
        <w:t xml:space="preserve">A Flexibility Waiver. </w:t>
      </w:r>
    </w:p>
    <w:p w:rsidR="001A0C1E" w:rsidRPr="00C510BB" w:rsidRDefault="001A0C1E" w:rsidP="00485F3E">
      <w:pPr>
        <w:rPr>
          <w:sz w:val="22"/>
          <w:szCs w:val="22"/>
        </w:rPr>
      </w:pPr>
    </w:p>
    <w:p w:rsidR="00485F3E" w:rsidRDefault="00485F3E" w:rsidP="00485F3E">
      <w:pPr>
        <w:rPr>
          <w:sz w:val="22"/>
          <w:szCs w:val="22"/>
        </w:rPr>
      </w:pPr>
      <w:r w:rsidRPr="00C510BB">
        <w:rPr>
          <w:sz w:val="22"/>
          <w:szCs w:val="22"/>
        </w:rPr>
        <w:t>Under G</w:t>
      </w:r>
      <w:r w:rsidR="001A1B41" w:rsidRPr="00C510BB">
        <w:rPr>
          <w:sz w:val="22"/>
          <w:szCs w:val="22"/>
        </w:rPr>
        <w:t xml:space="preserve">eorgia’s </w:t>
      </w:r>
      <w:r w:rsidR="00E62E2B">
        <w:rPr>
          <w:sz w:val="22"/>
          <w:szCs w:val="22"/>
        </w:rPr>
        <w:t>2015</w:t>
      </w:r>
      <w:r w:rsidR="00DA08CD" w:rsidRPr="00C510BB">
        <w:rPr>
          <w:sz w:val="22"/>
          <w:szCs w:val="22"/>
        </w:rPr>
        <w:t xml:space="preserve"> </w:t>
      </w:r>
      <w:r w:rsidR="00E62E2B">
        <w:rPr>
          <w:sz w:val="22"/>
          <w:szCs w:val="22"/>
        </w:rPr>
        <w:t>ESS</w:t>
      </w:r>
      <w:r w:rsidR="001A1B41" w:rsidRPr="00C510BB">
        <w:rPr>
          <w:sz w:val="22"/>
          <w:szCs w:val="22"/>
        </w:rPr>
        <w:t>A Flexibility Waiver</w:t>
      </w:r>
      <w:r w:rsidRPr="00C510BB">
        <w:rPr>
          <w:sz w:val="22"/>
          <w:szCs w:val="22"/>
        </w:rPr>
        <w:t>, certain Title I schools are designated</w:t>
      </w:r>
      <w:r w:rsidR="00EB4D19" w:rsidRPr="00C510BB">
        <w:rPr>
          <w:sz w:val="22"/>
          <w:szCs w:val="22"/>
        </w:rPr>
        <w:t xml:space="preserve"> as Reward, Priority</w:t>
      </w:r>
      <w:r w:rsidR="00EA586C" w:rsidRPr="00C510BB">
        <w:rPr>
          <w:sz w:val="22"/>
          <w:szCs w:val="22"/>
        </w:rPr>
        <w:t>,</w:t>
      </w:r>
      <w:r w:rsidR="00EB4D19" w:rsidRPr="00C510BB">
        <w:rPr>
          <w:sz w:val="22"/>
          <w:szCs w:val="22"/>
        </w:rPr>
        <w:t xml:space="preserve"> or Focus </w:t>
      </w:r>
      <w:r w:rsidR="0055060D" w:rsidRPr="00C510BB">
        <w:rPr>
          <w:sz w:val="22"/>
          <w:szCs w:val="22"/>
        </w:rPr>
        <w:t>S</w:t>
      </w:r>
      <w:r w:rsidRPr="00C510BB">
        <w:rPr>
          <w:sz w:val="22"/>
          <w:szCs w:val="22"/>
        </w:rPr>
        <w:t xml:space="preserve">chools.  The Waiver also allows the use of the College and Career </w:t>
      </w:r>
      <w:r w:rsidR="00CF60D4" w:rsidRPr="00C510BB">
        <w:rPr>
          <w:sz w:val="22"/>
          <w:szCs w:val="22"/>
        </w:rPr>
        <w:t xml:space="preserve">Ready </w:t>
      </w:r>
      <w:r w:rsidRPr="00C510BB">
        <w:rPr>
          <w:sz w:val="22"/>
          <w:szCs w:val="22"/>
        </w:rPr>
        <w:t>Performance Index (CCRPI), which serves as a comprehensive report card for all schools in Georgia.  The CCR</w:t>
      </w:r>
      <w:r w:rsidR="00802797" w:rsidRPr="00C510BB">
        <w:rPr>
          <w:sz w:val="22"/>
          <w:szCs w:val="22"/>
        </w:rPr>
        <w:t>PI provides a score between 0-</w:t>
      </w:r>
      <w:r w:rsidRPr="00C510BB">
        <w:rPr>
          <w:sz w:val="22"/>
          <w:szCs w:val="22"/>
        </w:rPr>
        <w:t>100 for each school, and that score measures how well the school is doing in preparing its students to be successful in college and/or a career.</w:t>
      </w:r>
    </w:p>
    <w:p w:rsidR="00DB3D0F" w:rsidRPr="00C510BB" w:rsidRDefault="00DB3D0F" w:rsidP="00485F3E">
      <w:pPr>
        <w:rPr>
          <w:sz w:val="22"/>
          <w:szCs w:val="22"/>
        </w:rPr>
      </w:pPr>
    </w:p>
    <w:p w:rsidR="00485F3E" w:rsidRPr="005D1E1E" w:rsidRDefault="00485F3E" w:rsidP="00485F3E"/>
    <w:tbl>
      <w:tblPr>
        <w:tblStyle w:val="TableGrid"/>
        <w:tblW w:w="0" w:type="auto"/>
        <w:tblInd w:w="918" w:type="dxa"/>
        <w:tblLook w:val="04A0" w:firstRow="1" w:lastRow="0" w:firstColumn="1" w:lastColumn="0" w:noHBand="0" w:noVBand="1"/>
      </w:tblPr>
      <w:tblGrid>
        <w:gridCol w:w="939"/>
        <w:gridCol w:w="944"/>
        <w:gridCol w:w="690"/>
        <w:gridCol w:w="726"/>
        <w:gridCol w:w="1076"/>
        <w:gridCol w:w="1012"/>
        <w:gridCol w:w="999"/>
        <w:gridCol w:w="1770"/>
      </w:tblGrid>
      <w:tr w:rsidR="00C510BB" w:rsidRPr="00C510BB" w:rsidTr="00026D4F">
        <w:trPr>
          <w:trHeight w:val="470"/>
        </w:trPr>
        <w:tc>
          <w:tcPr>
            <w:tcW w:w="8156" w:type="dxa"/>
            <w:gridSpan w:val="8"/>
            <w:shd w:val="clear" w:color="auto" w:fill="FFFFFF" w:themeFill="background1"/>
          </w:tcPr>
          <w:p w:rsidR="00C510BB" w:rsidRPr="00C510BB" w:rsidRDefault="00C510BB" w:rsidP="00172AE5">
            <w:pPr>
              <w:widowControl/>
              <w:jc w:val="center"/>
              <w:rPr>
                <w:rFonts w:eastAsia="Calibri"/>
                <w:b/>
                <w:sz w:val="20"/>
                <w:szCs w:val="20"/>
              </w:rPr>
            </w:pPr>
            <w:r w:rsidRPr="00C510BB">
              <w:rPr>
                <w:rFonts w:eastAsia="Calibri"/>
                <w:b/>
                <w:sz w:val="20"/>
                <w:szCs w:val="20"/>
              </w:rPr>
              <w:t>Davis Elementary School</w:t>
            </w:r>
          </w:p>
          <w:p w:rsidR="00C510BB" w:rsidRPr="00C510BB" w:rsidRDefault="00C510BB" w:rsidP="00172AE5">
            <w:pPr>
              <w:widowControl/>
              <w:jc w:val="center"/>
              <w:rPr>
                <w:rFonts w:eastAsia="Calibri"/>
                <w:b/>
                <w:sz w:val="20"/>
                <w:szCs w:val="20"/>
              </w:rPr>
            </w:pPr>
            <w:r w:rsidRPr="00C510BB">
              <w:rPr>
                <w:rFonts w:eastAsia="Calibri"/>
                <w:b/>
                <w:sz w:val="20"/>
                <w:szCs w:val="20"/>
              </w:rPr>
              <w:t>College and Career Readiness Performance Index (CCRPI) Comparison</w:t>
            </w:r>
          </w:p>
        </w:tc>
      </w:tr>
      <w:tr w:rsidR="00C510BB" w:rsidRPr="00C510BB" w:rsidTr="00211BA3">
        <w:trPr>
          <w:cantSplit/>
          <w:trHeight w:val="1658"/>
        </w:trPr>
        <w:tc>
          <w:tcPr>
            <w:tcW w:w="939" w:type="dxa"/>
            <w:shd w:val="clear" w:color="auto" w:fill="D9D9D9" w:themeFill="background1" w:themeFillShade="D9"/>
            <w:vAlign w:val="bottom"/>
          </w:tcPr>
          <w:p w:rsidR="00C510BB" w:rsidRPr="00C510BB" w:rsidRDefault="00C510BB" w:rsidP="00172AE5">
            <w:pPr>
              <w:widowControl/>
              <w:rPr>
                <w:rFonts w:eastAsia="Calibri"/>
                <w:b/>
                <w:sz w:val="20"/>
                <w:szCs w:val="20"/>
              </w:rPr>
            </w:pPr>
            <w:r w:rsidRPr="00C510BB">
              <w:rPr>
                <w:rFonts w:eastAsia="Calibri"/>
                <w:b/>
                <w:sz w:val="20"/>
                <w:szCs w:val="20"/>
              </w:rPr>
              <w:t>Year</w:t>
            </w:r>
          </w:p>
        </w:tc>
        <w:tc>
          <w:tcPr>
            <w:tcW w:w="944" w:type="dxa"/>
            <w:shd w:val="clear" w:color="auto" w:fill="D9D9D9" w:themeFill="background1" w:themeFillShade="D9"/>
            <w:textDirection w:val="btLr"/>
          </w:tcPr>
          <w:p w:rsidR="00C510BB" w:rsidRPr="00C510BB" w:rsidRDefault="00C510BB" w:rsidP="00172AE5">
            <w:pPr>
              <w:widowControl/>
              <w:ind w:left="113" w:right="113"/>
              <w:rPr>
                <w:rFonts w:eastAsia="Calibri"/>
                <w:b/>
                <w:sz w:val="20"/>
                <w:szCs w:val="20"/>
              </w:rPr>
            </w:pPr>
            <w:r w:rsidRPr="00C510BB">
              <w:rPr>
                <w:rFonts w:eastAsia="Calibri"/>
                <w:b/>
                <w:sz w:val="20"/>
                <w:szCs w:val="20"/>
              </w:rPr>
              <w:t>Achievement Points</w:t>
            </w:r>
          </w:p>
        </w:tc>
        <w:tc>
          <w:tcPr>
            <w:tcW w:w="690" w:type="dxa"/>
            <w:shd w:val="clear" w:color="auto" w:fill="D9D9D9" w:themeFill="background1" w:themeFillShade="D9"/>
            <w:textDirection w:val="btLr"/>
          </w:tcPr>
          <w:p w:rsidR="00C510BB" w:rsidRPr="00C510BB" w:rsidRDefault="00C510BB" w:rsidP="00172AE5">
            <w:pPr>
              <w:widowControl/>
              <w:ind w:left="113" w:right="113"/>
              <w:rPr>
                <w:rFonts w:eastAsia="Calibri"/>
                <w:b/>
                <w:sz w:val="20"/>
                <w:szCs w:val="20"/>
              </w:rPr>
            </w:pPr>
            <w:r w:rsidRPr="00C510BB">
              <w:rPr>
                <w:rFonts w:eastAsia="Calibri"/>
                <w:b/>
                <w:sz w:val="20"/>
                <w:szCs w:val="20"/>
              </w:rPr>
              <w:t>Progress Points</w:t>
            </w:r>
          </w:p>
        </w:tc>
        <w:tc>
          <w:tcPr>
            <w:tcW w:w="726" w:type="dxa"/>
            <w:shd w:val="clear" w:color="auto" w:fill="D9D9D9" w:themeFill="background1" w:themeFillShade="D9"/>
            <w:textDirection w:val="btLr"/>
          </w:tcPr>
          <w:p w:rsidR="00C510BB" w:rsidRPr="00C510BB" w:rsidRDefault="00C510BB" w:rsidP="00172AE5">
            <w:pPr>
              <w:widowControl/>
              <w:ind w:left="113" w:right="113"/>
              <w:rPr>
                <w:rFonts w:eastAsia="Calibri"/>
                <w:b/>
                <w:sz w:val="20"/>
                <w:szCs w:val="20"/>
              </w:rPr>
            </w:pPr>
            <w:r w:rsidRPr="00C510BB">
              <w:rPr>
                <w:rFonts w:eastAsia="Calibri"/>
                <w:b/>
                <w:sz w:val="20"/>
                <w:szCs w:val="20"/>
              </w:rPr>
              <w:t>Achievement Gap Points</w:t>
            </w:r>
          </w:p>
        </w:tc>
        <w:tc>
          <w:tcPr>
            <w:tcW w:w="1076" w:type="dxa"/>
            <w:shd w:val="clear" w:color="auto" w:fill="D9D9D9" w:themeFill="background1" w:themeFillShade="D9"/>
            <w:textDirection w:val="btLr"/>
          </w:tcPr>
          <w:p w:rsidR="00C510BB" w:rsidRPr="00C510BB" w:rsidRDefault="00C510BB" w:rsidP="00172AE5">
            <w:pPr>
              <w:widowControl/>
              <w:ind w:left="113" w:right="113"/>
              <w:rPr>
                <w:rFonts w:eastAsia="Calibri"/>
                <w:b/>
                <w:sz w:val="20"/>
                <w:szCs w:val="20"/>
              </w:rPr>
            </w:pPr>
            <w:r w:rsidRPr="00C510BB">
              <w:rPr>
                <w:rFonts w:eastAsia="Calibri"/>
                <w:b/>
                <w:sz w:val="20"/>
                <w:szCs w:val="20"/>
              </w:rPr>
              <w:t>ED/EL/SWD Performance Points</w:t>
            </w:r>
          </w:p>
        </w:tc>
        <w:tc>
          <w:tcPr>
            <w:tcW w:w="1012" w:type="dxa"/>
            <w:shd w:val="clear" w:color="auto" w:fill="D9D9D9" w:themeFill="background1" w:themeFillShade="D9"/>
            <w:textDirection w:val="btLr"/>
          </w:tcPr>
          <w:p w:rsidR="00C510BB" w:rsidRPr="00C510BB" w:rsidRDefault="00C510BB" w:rsidP="00172AE5">
            <w:pPr>
              <w:widowControl/>
              <w:ind w:left="113" w:right="113"/>
              <w:rPr>
                <w:rFonts w:eastAsia="Calibri"/>
                <w:b/>
                <w:sz w:val="20"/>
                <w:szCs w:val="20"/>
              </w:rPr>
            </w:pPr>
            <w:r w:rsidRPr="00C510BB">
              <w:rPr>
                <w:rFonts w:eastAsia="Calibri"/>
                <w:b/>
                <w:sz w:val="20"/>
                <w:szCs w:val="20"/>
              </w:rPr>
              <w:t>Exceeding the Bar Points</w:t>
            </w:r>
          </w:p>
        </w:tc>
        <w:tc>
          <w:tcPr>
            <w:tcW w:w="999" w:type="dxa"/>
            <w:shd w:val="clear" w:color="auto" w:fill="D9D9D9" w:themeFill="background1" w:themeFillShade="D9"/>
            <w:textDirection w:val="btLr"/>
          </w:tcPr>
          <w:p w:rsidR="00C510BB" w:rsidRPr="00C510BB" w:rsidRDefault="00C510BB" w:rsidP="00172AE5">
            <w:pPr>
              <w:widowControl/>
              <w:ind w:left="113" w:right="113"/>
              <w:rPr>
                <w:rFonts w:eastAsia="Calibri"/>
                <w:b/>
                <w:sz w:val="20"/>
                <w:szCs w:val="20"/>
              </w:rPr>
            </w:pPr>
            <w:r w:rsidRPr="00C510BB">
              <w:rPr>
                <w:rFonts w:eastAsia="Calibri"/>
                <w:b/>
                <w:sz w:val="20"/>
                <w:szCs w:val="20"/>
              </w:rPr>
              <w:t>CCRPI Scores</w:t>
            </w:r>
          </w:p>
        </w:tc>
        <w:tc>
          <w:tcPr>
            <w:tcW w:w="1770" w:type="dxa"/>
            <w:shd w:val="clear" w:color="auto" w:fill="D9D9D9" w:themeFill="background1" w:themeFillShade="D9"/>
            <w:vAlign w:val="bottom"/>
          </w:tcPr>
          <w:p w:rsidR="00C510BB" w:rsidRPr="00C510BB" w:rsidRDefault="00C510BB" w:rsidP="00172AE5">
            <w:pPr>
              <w:widowControl/>
              <w:jc w:val="center"/>
              <w:rPr>
                <w:rFonts w:eastAsia="Calibri"/>
                <w:b/>
                <w:sz w:val="20"/>
                <w:szCs w:val="20"/>
              </w:rPr>
            </w:pPr>
            <w:r w:rsidRPr="00C510BB">
              <w:rPr>
                <w:rFonts w:eastAsia="Calibri"/>
                <w:b/>
                <w:sz w:val="20"/>
                <w:szCs w:val="20"/>
              </w:rPr>
              <w:t>Gain/Loss</w:t>
            </w:r>
          </w:p>
        </w:tc>
      </w:tr>
      <w:tr w:rsidR="00C510BB" w:rsidRPr="00C510BB" w:rsidTr="00211BA3">
        <w:trPr>
          <w:trHeight w:val="235"/>
        </w:trPr>
        <w:tc>
          <w:tcPr>
            <w:tcW w:w="939" w:type="dxa"/>
          </w:tcPr>
          <w:p w:rsidR="00C510BB" w:rsidRPr="00C510BB" w:rsidRDefault="00C510BB" w:rsidP="00172AE5">
            <w:pPr>
              <w:widowControl/>
              <w:rPr>
                <w:rFonts w:eastAsia="Calibri"/>
                <w:b/>
                <w:sz w:val="20"/>
                <w:szCs w:val="20"/>
              </w:rPr>
            </w:pPr>
            <w:r w:rsidRPr="00C510BB">
              <w:rPr>
                <w:rFonts w:eastAsia="Calibri"/>
                <w:b/>
                <w:sz w:val="20"/>
                <w:szCs w:val="20"/>
              </w:rPr>
              <w:t>2012</w:t>
            </w:r>
            <w:r w:rsidR="00211BA3">
              <w:rPr>
                <w:rFonts w:eastAsia="Calibri"/>
                <w:b/>
                <w:sz w:val="20"/>
                <w:szCs w:val="20"/>
              </w:rPr>
              <w:t>-13</w:t>
            </w:r>
          </w:p>
        </w:tc>
        <w:tc>
          <w:tcPr>
            <w:tcW w:w="944" w:type="dxa"/>
          </w:tcPr>
          <w:p w:rsidR="00C510BB" w:rsidRPr="00C510BB" w:rsidRDefault="00C510BB" w:rsidP="00172AE5">
            <w:pPr>
              <w:widowControl/>
              <w:jc w:val="center"/>
              <w:rPr>
                <w:rFonts w:eastAsia="Calibri"/>
                <w:b/>
                <w:sz w:val="20"/>
                <w:szCs w:val="20"/>
              </w:rPr>
            </w:pPr>
            <w:r w:rsidRPr="00C510BB">
              <w:rPr>
                <w:rFonts w:eastAsia="Calibri"/>
                <w:b/>
                <w:sz w:val="20"/>
                <w:szCs w:val="20"/>
              </w:rPr>
              <w:t>33.9</w:t>
            </w:r>
          </w:p>
        </w:tc>
        <w:tc>
          <w:tcPr>
            <w:tcW w:w="690" w:type="dxa"/>
          </w:tcPr>
          <w:p w:rsidR="00C510BB" w:rsidRPr="00C510BB" w:rsidRDefault="00C510BB" w:rsidP="00172AE5">
            <w:pPr>
              <w:widowControl/>
              <w:jc w:val="center"/>
              <w:rPr>
                <w:rFonts w:eastAsia="Calibri"/>
                <w:b/>
                <w:sz w:val="20"/>
                <w:szCs w:val="20"/>
              </w:rPr>
            </w:pPr>
            <w:r w:rsidRPr="00C510BB">
              <w:rPr>
                <w:rFonts w:eastAsia="Calibri"/>
                <w:b/>
                <w:sz w:val="20"/>
                <w:szCs w:val="20"/>
              </w:rPr>
              <w:t>15.6</w:t>
            </w:r>
          </w:p>
        </w:tc>
        <w:tc>
          <w:tcPr>
            <w:tcW w:w="726" w:type="dxa"/>
          </w:tcPr>
          <w:p w:rsidR="00C510BB" w:rsidRPr="00C510BB" w:rsidRDefault="00C510BB" w:rsidP="00172AE5">
            <w:pPr>
              <w:widowControl/>
              <w:jc w:val="center"/>
              <w:rPr>
                <w:rFonts w:eastAsia="Calibri"/>
                <w:b/>
                <w:sz w:val="20"/>
                <w:szCs w:val="20"/>
              </w:rPr>
            </w:pPr>
            <w:r w:rsidRPr="00C510BB">
              <w:rPr>
                <w:rFonts w:eastAsia="Calibri"/>
                <w:b/>
                <w:sz w:val="20"/>
                <w:szCs w:val="20"/>
              </w:rPr>
              <w:t>6.0</w:t>
            </w:r>
          </w:p>
        </w:tc>
        <w:tc>
          <w:tcPr>
            <w:tcW w:w="1076" w:type="dxa"/>
          </w:tcPr>
          <w:p w:rsidR="00C510BB" w:rsidRPr="00C510BB" w:rsidRDefault="00C510BB" w:rsidP="00172AE5">
            <w:pPr>
              <w:widowControl/>
              <w:jc w:val="center"/>
              <w:rPr>
                <w:rFonts w:eastAsia="Calibri"/>
                <w:b/>
                <w:sz w:val="20"/>
                <w:szCs w:val="20"/>
              </w:rPr>
            </w:pPr>
            <w:r w:rsidRPr="00C510BB">
              <w:rPr>
                <w:rFonts w:eastAsia="Calibri"/>
                <w:b/>
                <w:sz w:val="20"/>
                <w:szCs w:val="20"/>
              </w:rPr>
              <w:t>2.0</w:t>
            </w:r>
          </w:p>
        </w:tc>
        <w:tc>
          <w:tcPr>
            <w:tcW w:w="1012" w:type="dxa"/>
          </w:tcPr>
          <w:p w:rsidR="00C510BB" w:rsidRPr="00C510BB" w:rsidRDefault="00C510BB" w:rsidP="00172AE5">
            <w:pPr>
              <w:widowControl/>
              <w:jc w:val="center"/>
              <w:rPr>
                <w:rFonts w:eastAsia="Calibri"/>
                <w:b/>
                <w:sz w:val="20"/>
                <w:szCs w:val="20"/>
              </w:rPr>
            </w:pPr>
            <w:r w:rsidRPr="00C510BB">
              <w:rPr>
                <w:rFonts w:eastAsia="Calibri"/>
                <w:b/>
                <w:sz w:val="20"/>
                <w:szCs w:val="20"/>
              </w:rPr>
              <w:t>1.0</w:t>
            </w:r>
          </w:p>
        </w:tc>
        <w:tc>
          <w:tcPr>
            <w:tcW w:w="999" w:type="dxa"/>
          </w:tcPr>
          <w:p w:rsidR="00C510BB" w:rsidRPr="00C510BB" w:rsidRDefault="00C510BB" w:rsidP="00172AE5">
            <w:pPr>
              <w:widowControl/>
              <w:jc w:val="center"/>
              <w:rPr>
                <w:rFonts w:eastAsia="Calibri"/>
                <w:b/>
                <w:sz w:val="20"/>
                <w:szCs w:val="20"/>
              </w:rPr>
            </w:pPr>
            <w:r w:rsidRPr="00C510BB">
              <w:rPr>
                <w:rFonts w:eastAsia="Calibri"/>
                <w:b/>
                <w:sz w:val="20"/>
                <w:szCs w:val="20"/>
              </w:rPr>
              <w:t>58.5</w:t>
            </w:r>
          </w:p>
        </w:tc>
        <w:tc>
          <w:tcPr>
            <w:tcW w:w="1770" w:type="dxa"/>
          </w:tcPr>
          <w:p w:rsidR="00C510BB" w:rsidRPr="00C510BB" w:rsidRDefault="00C510BB" w:rsidP="00172AE5">
            <w:pPr>
              <w:widowControl/>
              <w:jc w:val="center"/>
              <w:rPr>
                <w:rFonts w:eastAsia="Calibri"/>
                <w:b/>
                <w:sz w:val="20"/>
                <w:szCs w:val="20"/>
              </w:rPr>
            </w:pPr>
          </w:p>
        </w:tc>
      </w:tr>
      <w:tr w:rsidR="00C510BB" w:rsidRPr="00C510BB" w:rsidTr="00211BA3">
        <w:trPr>
          <w:trHeight w:val="235"/>
        </w:trPr>
        <w:tc>
          <w:tcPr>
            <w:tcW w:w="939" w:type="dxa"/>
          </w:tcPr>
          <w:p w:rsidR="00C510BB" w:rsidRPr="00C510BB" w:rsidRDefault="00C510BB" w:rsidP="00172AE5">
            <w:pPr>
              <w:widowControl/>
              <w:rPr>
                <w:rFonts w:eastAsia="Calibri"/>
                <w:b/>
                <w:sz w:val="20"/>
                <w:szCs w:val="20"/>
              </w:rPr>
            </w:pPr>
            <w:r w:rsidRPr="00C510BB">
              <w:rPr>
                <w:rFonts w:eastAsia="Calibri"/>
                <w:b/>
                <w:sz w:val="20"/>
                <w:szCs w:val="20"/>
              </w:rPr>
              <w:t>2013</w:t>
            </w:r>
            <w:r w:rsidR="00211BA3">
              <w:rPr>
                <w:rFonts w:eastAsia="Calibri"/>
                <w:b/>
                <w:sz w:val="20"/>
                <w:szCs w:val="20"/>
              </w:rPr>
              <w:t>-14</w:t>
            </w:r>
          </w:p>
        </w:tc>
        <w:tc>
          <w:tcPr>
            <w:tcW w:w="944" w:type="dxa"/>
          </w:tcPr>
          <w:p w:rsidR="00C510BB" w:rsidRPr="00C510BB" w:rsidRDefault="00C510BB" w:rsidP="00172AE5">
            <w:pPr>
              <w:widowControl/>
              <w:jc w:val="center"/>
              <w:rPr>
                <w:rFonts w:eastAsia="Calibri"/>
                <w:b/>
                <w:sz w:val="20"/>
                <w:szCs w:val="20"/>
              </w:rPr>
            </w:pPr>
            <w:r w:rsidRPr="00C510BB">
              <w:rPr>
                <w:rFonts w:eastAsia="Calibri"/>
                <w:b/>
                <w:sz w:val="20"/>
                <w:szCs w:val="20"/>
              </w:rPr>
              <w:t>30.4</w:t>
            </w:r>
          </w:p>
        </w:tc>
        <w:tc>
          <w:tcPr>
            <w:tcW w:w="690" w:type="dxa"/>
          </w:tcPr>
          <w:p w:rsidR="00C510BB" w:rsidRPr="00C510BB" w:rsidRDefault="00C510BB" w:rsidP="00172AE5">
            <w:pPr>
              <w:widowControl/>
              <w:jc w:val="center"/>
              <w:rPr>
                <w:rFonts w:eastAsia="Calibri"/>
                <w:b/>
                <w:sz w:val="20"/>
                <w:szCs w:val="20"/>
              </w:rPr>
            </w:pPr>
            <w:r w:rsidRPr="00C510BB">
              <w:rPr>
                <w:rFonts w:eastAsia="Calibri"/>
                <w:b/>
                <w:sz w:val="20"/>
                <w:szCs w:val="20"/>
              </w:rPr>
              <w:t>14.5</w:t>
            </w:r>
          </w:p>
        </w:tc>
        <w:tc>
          <w:tcPr>
            <w:tcW w:w="726" w:type="dxa"/>
          </w:tcPr>
          <w:p w:rsidR="00C510BB" w:rsidRPr="00C510BB" w:rsidRDefault="00C510BB" w:rsidP="00172AE5">
            <w:pPr>
              <w:widowControl/>
              <w:jc w:val="center"/>
              <w:rPr>
                <w:rFonts w:eastAsia="Calibri"/>
                <w:b/>
                <w:sz w:val="20"/>
                <w:szCs w:val="20"/>
              </w:rPr>
            </w:pPr>
            <w:r w:rsidRPr="00C510BB">
              <w:rPr>
                <w:rFonts w:eastAsia="Calibri"/>
                <w:b/>
                <w:sz w:val="20"/>
                <w:szCs w:val="20"/>
              </w:rPr>
              <w:t>7.0</w:t>
            </w:r>
          </w:p>
        </w:tc>
        <w:tc>
          <w:tcPr>
            <w:tcW w:w="1076" w:type="dxa"/>
          </w:tcPr>
          <w:p w:rsidR="00C510BB" w:rsidRPr="00C510BB" w:rsidRDefault="00C510BB" w:rsidP="00172AE5">
            <w:pPr>
              <w:widowControl/>
              <w:jc w:val="center"/>
              <w:rPr>
                <w:rFonts w:eastAsia="Calibri"/>
                <w:b/>
                <w:sz w:val="20"/>
                <w:szCs w:val="20"/>
              </w:rPr>
            </w:pPr>
            <w:r w:rsidRPr="00C510BB">
              <w:rPr>
                <w:rFonts w:eastAsia="Calibri"/>
                <w:b/>
                <w:sz w:val="20"/>
                <w:szCs w:val="20"/>
              </w:rPr>
              <w:t>0.0</w:t>
            </w:r>
          </w:p>
        </w:tc>
        <w:tc>
          <w:tcPr>
            <w:tcW w:w="1012" w:type="dxa"/>
          </w:tcPr>
          <w:p w:rsidR="00C510BB" w:rsidRPr="00C510BB" w:rsidRDefault="00C510BB" w:rsidP="00172AE5">
            <w:pPr>
              <w:widowControl/>
              <w:jc w:val="center"/>
              <w:rPr>
                <w:rFonts w:eastAsia="Calibri"/>
                <w:b/>
                <w:sz w:val="20"/>
                <w:szCs w:val="20"/>
              </w:rPr>
            </w:pPr>
            <w:r w:rsidRPr="00C510BB">
              <w:rPr>
                <w:rFonts w:eastAsia="Calibri"/>
                <w:b/>
                <w:sz w:val="20"/>
                <w:szCs w:val="20"/>
              </w:rPr>
              <w:t>0.0</w:t>
            </w:r>
          </w:p>
        </w:tc>
        <w:tc>
          <w:tcPr>
            <w:tcW w:w="999" w:type="dxa"/>
          </w:tcPr>
          <w:p w:rsidR="00C510BB" w:rsidRPr="00C510BB" w:rsidRDefault="00C510BB" w:rsidP="00172AE5">
            <w:pPr>
              <w:widowControl/>
              <w:jc w:val="center"/>
              <w:rPr>
                <w:rFonts w:eastAsia="Calibri"/>
                <w:b/>
                <w:sz w:val="20"/>
                <w:szCs w:val="20"/>
              </w:rPr>
            </w:pPr>
            <w:r w:rsidRPr="00C510BB">
              <w:rPr>
                <w:rFonts w:eastAsia="Calibri"/>
                <w:b/>
                <w:sz w:val="20"/>
                <w:szCs w:val="20"/>
              </w:rPr>
              <w:t>51.9</w:t>
            </w:r>
          </w:p>
        </w:tc>
        <w:tc>
          <w:tcPr>
            <w:tcW w:w="1770" w:type="dxa"/>
          </w:tcPr>
          <w:p w:rsidR="00C510BB" w:rsidRPr="00371B07" w:rsidRDefault="00C510BB" w:rsidP="00172AE5">
            <w:pPr>
              <w:widowControl/>
              <w:jc w:val="center"/>
              <w:rPr>
                <w:rFonts w:eastAsia="Calibri"/>
                <w:b/>
                <w:sz w:val="20"/>
                <w:szCs w:val="20"/>
              </w:rPr>
            </w:pPr>
            <w:r w:rsidRPr="00371B07">
              <w:rPr>
                <w:rFonts w:eastAsia="Calibri"/>
                <w:b/>
                <w:sz w:val="20"/>
                <w:szCs w:val="20"/>
              </w:rPr>
              <w:t>-6.6 points</w:t>
            </w:r>
          </w:p>
        </w:tc>
      </w:tr>
      <w:tr w:rsidR="00C510BB" w:rsidRPr="00C510BB" w:rsidTr="00211BA3">
        <w:trPr>
          <w:trHeight w:val="235"/>
        </w:trPr>
        <w:tc>
          <w:tcPr>
            <w:tcW w:w="939" w:type="dxa"/>
          </w:tcPr>
          <w:p w:rsidR="00C510BB" w:rsidRPr="00C510BB" w:rsidRDefault="00C510BB" w:rsidP="00172AE5">
            <w:pPr>
              <w:widowControl/>
              <w:rPr>
                <w:rFonts w:eastAsia="Calibri"/>
                <w:b/>
                <w:sz w:val="20"/>
                <w:szCs w:val="20"/>
              </w:rPr>
            </w:pPr>
            <w:r w:rsidRPr="00C510BB">
              <w:rPr>
                <w:rFonts w:eastAsia="Calibri"/>
                <w:b/>
                <w:sz w:val="20"/>
                <w:szCs w:val="20"/>
              </w:rPr>
              <w:t>2014</w:t>
            </w:r>
            <w:r w:rsidR="00211BA3">
              <w:rPr>
                <w:rFonts w:eastAsia="Calibri"/>
                <w:b/>
                <w:sz w:val="20"/>
                <w:szCs w:val="20"/>
              </w:rPr>
              <w:t>-15</w:t>
            </w:r>
          </w:p>
        </w:tc>
        <w:tc>
          <w:tcPr>
            <w:tcW w:w="944" w:type="dxa"/>
          </w:tcPr>
          <w:p w:rsidR="00C510BB" w:rsidRPr="00C510BB" w:rsidRDefault="00C510BB" w:rsidP="00172AE5">
            <w:pPr>
              <w:widowControl/>
              <w:jc w:val="center"/>
              <w:rPr>
                <w:rFonts w:eastAsia="Calibri"/>
                <w:b/>
                <w:sz w:val="20"/>
                <w:szCs w:val="20"/>
              </w:rPr>
            </w:pPr>
            <w:r w:rsidRPr="00C510BB">
              <w:rPr>
                <w:rFonts w:eastAsia="Calibri"/>
                <w:b/>
                <w:sz w:val="20"/>
                <w:szCs w:val="20"/>
              </w:rPr>
              <w:t>31.4</w:t>
            </w:r>
          </w:p>
        </w:tc>
        <w:tc>
          <w:tcPr>
            <w:tcW w:w="690" w:type="dxa"/>
          </w:tcPr>
          <w:p w:rsidR="00C510BB" w:rsidRPr="00C510BB" w:rsidRDefault="00C510BB" w:rsidP="00172AE5">
            <w:pPr>
              <w:widowControl/>
              <w:jc w:val="center"/>
              <w:rPr>
                <w:rFonts w:eastAsia="Calibri"/>
                <w:b/>
                <w:sz w:val="20"/>
                <w:szCs w:val="20"/>
              </w:rPr>
            </w:pPr>
            <w:r w:rsidRPr="00C510BB">
              <w:rPr>
                <w:rFonts w:eastAsia="Calibri"/>
                <w:b/>
                <w:sz w:val="20"/>
                <w:szCs w:val="20"/>
              </w:rPr>
              <w:t>14.3</w:t>
            </w:r>
          </w:p>
        </w:tc>
        <w:tc>
          <w:tcPr>
            <w:tcW w:w="726" w:type="dxa"/>
          </w:tcPr>
          <w:p w:rsidR="00C510BB" w:rsidRPr="00C510BB" w:rsidRDefault="00C510BB" w:rsidP="00172AE5">
            <w:pPr>
              <w:widowControl/>
              <w:jc w:val="center"/>
              <w:rPr>
                <w:rFonts w:eastAsia="Calibri"/>
                <w:b/>
                <w:sz w:val="20"/>
                <w:szCs w:val="20"/>
              </w:rPr>
            </w:pPr>
            <w:r w:rsidRPr="00C510BB">
              <w:rPr>
                <w:rFonts w:eastAsia="Calibri"/>
                <w:b/>
                <w:sz w:val="20"/>
                <w:szCs w:val="20"/>
              </w:rPr>
              <w:t>1.0</w:t>
            </w:r>
          </w:p>
        </w:tc>
        <w:tc>
          <w:tcPr>
            <w:tcW w:w="1076" w:type="dxa"/>
          </w:tcPr>
          <w:p w:rsidR="00C510BB" w:rsidRPr="00C510BB" w:rsidRDefault="00C510BB" w:rsidP="00172AE5">
            <w:pPr>
              <w:widowControl/>
              <w:jc w:val="center"/>
              <w:rPr>
                <w:rFonts w:eastAsia="Calibri"/>
                <w:b/>
                <w:sz w:val="20"/>
                <w:szCs w:val="20"/>
              </w:rPr>
            </w:pPr>
            <w:r w:rsidRPr="00C510BB">
              <w:rPr>
                <w:rFonts w:eastAsia="Calibri"/>
                <w:b/>
                <w:sz w:val="20"/>
                <w:szCs w:val="20"/>
              </w:rPr>
              <w:t>1.0</w:t>
            </w:r>
          </w:p>
        </w:tc>
        <w:tc>
          <w:tcPr>
            <w:tcW w:w="1012" w:type="dxa"/>
          </w:tcPr>
          <w:p w:rsidR="00C510BB" w:rsidRPr="00C510BB" w:rsidRDefault="00C510BB" w:rsidP="00172AE5">
            <w:pPr>
              <w:widowControl/>
              <w:jc w:val="center"/>
              <w:rPr>
                <w:rFonts w:eastAsia="Calibri"/>
                <w:b/>
                <w:sz w:val="20"/>
                <w:szCs w:val="20"/>
              </w:rPr>
            </w:pPr>
            <w:r w:rsidRPr="00C510BB">
              <w:rPr>
                <w:rFonts w:eastAsia="Calibri"/>
                <w:b/>
                <w:sz w:val="20"/>
                <w:szCs w:val="20"/>
              </w:rPr>
              <w:t>0</w:t>
            </w:r>
            <w:r w:rsidR="000C7838">
              <w:rPr>
                <w:rFonts w:eastAsia="Calibri"/>
                <w:b/>
                <w:sz w:val="20"/>
                <w:szCs w:val="20"/>
              </w:rPr>
              <w:t>.0</w:t>
            </w:r>
          </w:p>
        </w:tc>
        <w:tc>
          <w:tcPr>
            <w:tcW w:w="999" w:type="dxa"/>
          </w:tcPr>
          <w:p w:rsidR="00C510BB" w:rsidRPr="00C510BB" w:rsidRDefault="00C510BB" w:rsidP="00172AE5">
            <w:pPr>
              <w:widowControl/>
              <w:jc w:val="center"/>
              <w:rPr>
                <w:rFonts w:eastAsia="Calibri"/>
                <w:b/>
                <w:sz w:val="20"/>
                <w:szCs w:val="20"/>
              </w:rPr>
            </w:pPr>
            <w:r w:rsidRPr="00C510BB">
              <w:rPr>
                <w:rFonts w:eastAsia="Calibri"/>
                <w:b/>
                <w:sz w:val="20"/>
                <w:szCs w:val="20"/>
              </w:rPr>
              <w:t>47.7</w:t>
            </w:r>
          </w:p>
        </w:tc>
        <w:tc>
          <w:tcPr>
            <w:tcW w:w="1770" w:type="dxa"/>
          </w:tcPr>
          <w:p w:rsidR="00C510BB" w:rsidRPr="00371B07" w:rsidRDefault="00C510BB" w:rsidP="00172AE5">
            <w:pPr>
              <w:widowControl/>
              <w:jc w:val="center"/>
              <w:rPr>
                <w:rFonts w:eastAsia="Calibri"/>
                <w:b/>
                <w:sz w:val="20"/>
                <w:szCs w:val="20"/>
              </w:rPr>
            </w:pPr>
            <w:r w:rsidRPr="00371B07">
              <w:rPr>
                <w:rFonts w:eastAsia="Calibri"/>
                <w:b/>
                <w:sz w:val="20"/>
                <w:szCs w:val="20"/>
              </w:rPr>
              <w:t>-4.2 points</w:t>
            </w:r>
          </w:p>
        </w:tc>
      </w:tr>
      <w:tr w:rsidR="000C7838" w:rsidRPr="00C510BB" w:rsidTr="00211BA3">
        <w:trPr>
          <w:trHeight w:val="235"/>
        </w:trPr>
        <w:tc>
          <w:tcPr>
            <w:tcW w:w="939" w:type="dxa"/>
          </w:tcPr>
          <w:p w:rsidR="000C7838" w:rsidRPr="00C510BB" w:rsidRDefault="000C7838" w:rsidP="00172AE5">
            <w:pPr>
              <w:rPr>
                <w:rFonts w:eastAsia="Calibri"/>
                <w:b/>
                <w:sz w:val="20"/>
                <w:szCs w:val="20"/>
              </w:rPr>
            </w:pPr>
            <w:r>
              <w:rPr>
                <w:rFonts w:eastAsia="Calibri"/>
                <w:b/>
                <w:sz w:val="20"/>
                <w:szCs w:val="20"/>
              </w:rPr>
              <w:t>2015</w:t>
            </w:r>
            <w:r w:rsidR="00211BA3">
              <w:rPr>
                <w:rFonts w:eastAsia="Calibri"/>
                <w:b/>
                <w:sz w:val="20"/>
                <w:szCs w:val="20"/>
              </w:rPr>
              <w:t>-16</w:t>
            </w:r>
          </w:p>
        </w:tc>
        <w:tc>
          <w:tcPr>
            <w:tcW w:w="944" w:type="dxa"/>
          </w:tcPr>
          <w:p w:rsidR="000C7838" w:rsidRPr="00C510BB" w:rsidRDefault="004C1C26" w:rsidP="00172AE5">
            <w:pPr>
              <w:jc w:val="center"/>
              <w:rPr>
                <w:rFonts w:eastAsia="Calibri"/>
                <w:b/>
                <w:sz w:val="20"/>
                <w:szCs w:val="20"/>
              </w:rPr>
            </w:pPr>
            <w:r>
              <w:rPr>
                <w:rFonts w:eastAsia="Calibri"/>
                <w:b/>
                <w:sz w:val="20"/>
                <w:szCs w:val="20"/>
              </w:rPr>
              <w:t>16</w:t>
            </w:r>
            <w:r w:rsidR="000C7838">
              <w:rPr>
                <w:rFonts w:eastAsia="Calibri"/>
                <w:b/>
                <w:sz w:val="20"/>
                <w:szCs w:val="20"/>
              </w:rPr>
              <w:t>.1</w:t>
            </w:r>
          </w:p>
        </w:tc>
        <w:tc>
          <w:tcPr>
            <w:tcW w:w="690" w:type="dxa"/>
          </w:tcPr>
          <w:p w:rsidR="000C7838" w:rsidRPr="00C510BB" w:rsidRDefault="000C7838" w:rsidP="00172AE5">
            <w:pPr>
              <w:jc w:val="center"/>
              <w:rPr>
                <w:rFonts w:eastAsia="Calibri"/>
                <w:b/>
                <w:sz w:val="20"/>
                <w:szCs w:val="20"/>
              </w:rPr>
            </w:pPr>
            <w:r>
              <w:rPr>
                <w:rFonts w:eastAsia="Calibri"/>
                <w:b/>
                <w:sz w:val="20"/>
                <w:szCs w:val="20"/>
              </w:rPr>
              <w:t>31.0</w:t>
            </w:r>
          </w:p>
        </w:tc>
        <w:tc>
          <w:tcPr>
            <w:tcW w:w="726" w:type="dxa"/>
          </w:tcPr>
          <w:p w:rsidR="000C7838" w:rsidRPr="00C510BB" w:rsidRDefault="000C7838" w:rsidP="00172AE5">
            <w:pPr>
              <w:jc w:val="center"/>
              <w:rPr>
                <w:rFonts w:eastAsia="Calibri"/>
                <w:b/>
                <w:sz w:val="20"/>
                <w:szCs w:val="20"/>
              </w:rPr>
            </w:pPr>
            <w:r>
              <w:rPr>
                <w:rFonts w:eastAsia="Calibri"/>
                <w:b/>
                <w:sz w:val="20"/>
                <w:szCs w:val="20"/>
              </w:rPr>
              <w:t>5.0</w:t>
            </w:r>
          </w:p>
        </w:tc>
        <w:tc>
          <w:tcPr>
            <w:tcW w:w="1076" w:type="dxa"/>
          </w:tcPr>
          <w:p w:rsidR="000C7838" w:rsidRPr="00C510BB" w:rsidRDefault="000C7838" w:rsidP="00172AE5">
            <w:pPr>
              <w:jc w:val="center"/>
              <w:rPr>
                <w:rFonts w:eastAsia="Calibri"/>
                <w:b/>
                <w:sz w:val="20"/>
                <w:szCs w:val="20"/>
              </w:rPr>
            </w:pPr>
            <w:r>
              <w:rPr>
                <w:rFonts w:eastAsia="Calibri"/>
                <w:b/>
                <w:sz w:val="20"/>
                <w:szCs w:val="20"/>
              </w:rPr>
              <w:t>0.0</w:t>
            </w:r>
          </w:p>
        </w:tc>
        <w:tc>
          <w:tcPr>
            <w:tcW w:w="1012" w:type="dxa"/>
          </w:tcPr>
          <w:p w:rsidR="000C7838" w:rsidRPr="00C510BB" w:rsidRDefault="000C7838" w:rsidP="00172AE5">
            <w:pPr>
              <w:jc w:val="center"/>
              <w:rPr>
                <w:rFonts w:eastAsia="Calibri"/>
                <w:b/>
                <w:sz w:val="20"/>
                <w:szCs w:val="20"/>
              </w:rPr>
            </w:pPr>
            <w:r>
              <w:rPr>
                <w:rFonts w:eastAsia="Calibri"/>
                <w:b/>
                <w:sz w:val="20"/>
                <w:szCs w:val="20"/>
              </w:rPr>
              <w:t>0.0</w:t>
            </w:r>
          </w:p>
        </w:tc>
        <w:tc>
          <w:tcPr>
            <w:tcW w:w="999" w:type="dxa"/>
          </w:tcPr>
          <w:p w:rsidR="000C7838" w:rsidRPr="00C510BB" w:rsidRDefault="000C7838" w:rsidP="00172AE5">
            <w:pPr>
              <w:jc w:val="center"/>
              <w:rPr>
                <w:rFonts w:eastAsia="Calibri"/>
                <w:b/>
                <w:sz w:val="20"/>
                <w:szCs w:val="20"/>
              </w:rPr>
            </w:pPr>
            <w:r>
              <w:rPr>
                <w:rFonts w:eastAsia="Calibri"/>
                <w:b/>
                <w:sz w:val="20"/>
                <w:szCs w:val="20"/>
              </w:rPr>
              <w:t>52.1</w:t>
            </w:r>
          </w:p>
        </w:tc>
        <w:tc>
          <w:tcPr>
            <w:tcW w:w="1770" w:type="dxa"/>
          </w:tcPr>
          <w:p w:rsidR="000C7838" w:rsidRPr="00371B07" w:rsidRDefault="000C7838" w:rsidP="00172AE5">
            <w:pPr>
              <w:jc w:val="center"/>
              <w:rPr>
                <w:rFonts w:eastAsia="Calibri"/>
                <w:b/>
                <w:sz w:val="20"/>
                <w:szCs w:val="20"/>
              </w:rPr>
            </w:pPr>
            <w:r w:rsidRPr="00371B07">
              <w:rPr>
                <w:rFonts w:eastAsia="Calibri"/>
                <w:b/>
                <w:sz w:val="20"/>
                <w:szCs w:val="20"/>
              </w:rPr>
              <w:t>+4.4 points</w:t>
            </w:r>
          </w:p>
        </w:tc>
      </w:tr>
    </w:tbl>
    <w:p w:rsidR="00344A2F" w:rsidRDefault="00517E9C" w:rsidP="00517E9C">
      <w:pPr>
        <w:rPr>
          <w:sz w:val="22"/>
          <w:szCs w:val="22"/>
        </w:rPr>
      </w:pPr>
      <w:r w:rsidRPr="00073229">
        <w:rPr>
          <w:sz w:val="22"/>
          <w:szCs w:val="22"/>
        </w:rPr>
        <w:t xml:space="preserve">Despite the progress made by our students, </w:t>
      </w:r>
      <w:r w:rsidR="00C510BB" w:rsidRPr="00073229">
        <w:rPr>
          <w:sz w:val="22"/>
          <w:szCs w:val="22"/>
        </w:rPr>
        <w:t>Davis Elementary School</w:t>
      </w:r>
      <w:r w:rsidRPr="00073229">
        <w:rPr>
          <w:sz w:val="22"/>
          <w:szCs w:val="22"/>
        </w:rPr>
        <w:t xml:space="preserve"> has been designated as a </w:t>
      </w:r>
      <w:r w:rsidR="00E62E2B">
        <w:rPr>
          <w:sz w:val="22"/>
          <w:szCs w:val="22"/>
        </w:rPr>
        <w:t>Focus School under Georgia’s ESE</w:t>
      </w:r>
      <w:r w:rsidRPr="00073229">
        <w:rPr>
          <w:sz w:val="22"/>
          <w:szCs w:val="22"/>
        </w:rPr>
        <w:t>A Flexibility Waiver for the</w:t>
      </w:r>
      <w:r w:rsidR="00EF0738" w:rsidRPr="00073229">
        <w:rPr>
          <w:sz w:val="22"/>
          <w:szCs w:val="22"/>
        </w:rPr>
        <w:t xml:space="preserve"> </w:t>
      </w:r>
      <w:r w:rsidR="000C7838">
        <w:rPr>
          <w:sz w:val="22"/>
          <w:szCs w:val="22"/>
        </w:rPr>
        <w:t>2016-2017</w:t>
      </w:r>
      <w:r w:rsidR="00C510BB" w:rsidRPr="00073229">
        <w:rPr>
          <w:sz w:val="22"/>
          <w:szCs w:val="22"/>
        </w:rPr>
        <w:t xml:space="preserve"> </w:t>
      </w:r>
      <w:r w:rsidRPr="00073229">
        <w:rPr>
          <w:sz w:val="22"/>
          <w:szCs w:val="22"/>
        </w:rPr>
        <w:t xml:space="preserve">school year.  This designation is based on the school’s 3-year average CCRPI Achievement Gap score, and we keep this designation </w:t>
      </w:r>
      <w:r w:rsidR="008E14BB" w:rsidRPr="00073229">
        <w:rPr>
          <w:sz w:val="22"/>
          <w:szCs w:val="22"/>
        </w:rPr>
        <w:t xml:space="preserve">until our school meets the exit criteria for Focus </w:t>
      </w:r>
      <w:r w:rsidR="00EA586C" w:rsidRPr="00073229">
        <w:rPr>
          <w:sz w:val="22"/>
          <w:szCs w:val="22"/>
        </w:rPr>
        <w:t xml:space="preserve">School </w:t>
      </w:r>
      <w:r w:rsidR="008E14BB" w:rsidRPr="00073229">
        <w:rPr>
          <w:sz w:val="22"/>
          <w:szCs w:val="22"/>
        </w:rPr>
        <w:t>status</w:t>
      </w:r>
      <w:r w:rsidRPr="00073229">
        <w:rPr>
          <w:sz w:val="22"/>
          <w:szCs w:val="22"/>
        </w:rPr>
        <w:t>.</w:t>
      </w:r>
    </w:p>
    <w:p w:rsidR="00DB3D0F" w:rsidRPr="00073229" w:rsidRDefault="00DB3D0F" w:rsidP="00517E9C">
      <w:pPr>
        <w:rPr>
          <w:sz w:val="22"/>
          <w:szCs w:val="22"/>
        </w:rPr>
      </w:pPr>
    </w:p>
    <w:p w:rsidR="00344A2F" w:rsidRPr="00073229" w:rsidRDefault="00073229" w:rsidP="00517E9C">
      <w:pPr>
        <w:rPr>
          <w:sz w:val="22"/>
          <w:szCs w:val="22"/>
        </w:rPr>
      </w:pPr>
      <w:r>
        <w:rPr>
          <w:sz w:val="22"/>
          <w:szCs w:val="22"/>
        </w:rPr>
        <w:t>At Davis Elementary S</w:t>
      </w:r>
      <w:r w:rsidR="00344A2F" w:rsidRPr="00073229">
        <w:rPr>
          <w:sz w:val="22"/>
          <w:szCs w:val="22"/>
        </w:rPr>
        <w:t xml:space="preserve">chool, the data shows a significant gap exists between highest achieving subgroup of students and the lowest achieving subgroup of students.  The “achievement gap” exists in all content areas. </w:t>
      </w:r>
    </w:p>
    <w:p w:rsidR="00BF1A44" w:rsidRPr="00073229" w:rsidRDefault="00BF1A44" w:rsidP="00BF1A44">
      <w:pPr>
        <w:rPr>
          <w:sz w:val="22"/>
          <w:szCs w:val="22"/>
        </w:rPr>
      </w:pPr>
    </w:p>
    <w:p w:rsidR="00B25206" w:rsidRPr="00073229" w:rsidRDefault="00B25206" w:rsidP="00BF1A44">
      <w:pPr>
        <w:rPr>
          <w:sz w:val="22"/>
          <w:szCs w:val="22"/>
        </w:rPr>
      </w:pPr>
    </w:p>
    <w:p w:rsidR="00B25206" w:rsidRPr="00073229" w:rsidRDefault="00B25206" w:rsidP="00BF1A44">
      <w:pPr>
        <w:rPr>
          <w:sz w:val="22"/>
          <w:szCs w:val="22"/>
        </w:rPr>
      </w:pPr>
    </w:p>
    <w:p w:rsidR="00BF1A44" w:rsidRPr="00073229" w:rsidRDefault="00BF1A44" w:rsidP="00BF1A44">
      <w:pPr>
        <w:rPr>
          <w:sz w:val="22"/>
          <w:szCs w:val="22"/>
        </w:rPr>
      </w:pPr>
      <w:r w:rsidRPr="00073229">
        <w:rPr>
          <w:sz w:val="22"/>
          <w:szCs w:val="22"/>
        </w:rPr>
        <w:lastRenderedPageBreak/>
        <w:t xml:space="preserve">As a Focus School, we will work together with parents/guardians, our community, and the Muscogee County School District to develop a school plan that delivers the necessary support to address the learning needs of our students and increase their academic success. </w:t>
      </w:r>
    </w:p>
    <w:p w:rsidR="00344A2F" w:rsidRPr="00073229" w:rsidRDefault="00344A2F" w:rsidP="00BF1A44">
      <w:pPr>
        <w:rPr>
          <w:sz w:val="22"/>
          <w:szCs w:val="22"/>
        </w:rPr>
      </w:pPr>
    </w:p>
    <w:p w:rsidR="00344A2F" w:rsidRPr="00073229" w:rsidRDefault="00344A2F" w:rsidP="00BF1A44">
      <w:pPr>
        <w:rPr>
          <w:sz w:val="22"/>
          <w:szCs w:val="22"/>
        </w:rPr>
      </w:pPr>
      <w:r w:rsidRPr="00073229">
        <w:rPr>
          <w:sz w:val="22"/>
          <w:szCs w:val="22"/>
        </w:rPr>
        <w:t>A number of steps are being taken to improve student achievement at Davis Elementary School.  The following are some of those actions:</w:t>
      </w:r>
    </w:p>
    <w:p w:rsidR="00344A2F" w:rsidRPr="00073229" w:rsidRDefault="00344A2F" w:rsidP="00344A2F">
      <w:pPr>
        <w:pStyle w:val="ListParagraph"/>
        <w:numPr>
          <w:ilvl w:val="0"/>
          <w:numId w:val="2"/>
        </w:numPr>
        <w:rPr>
          <w:sz w:val="22"/>
          <w:szCs w:val="22"/>
        </w:rPr>
      </w:pPr>
      <w:r w:rsidRPr="00073229">
        <w:rPr>
          <w:sz w:val="22"/>
          <w:szCs w:val="22"/>
        </w:rPr>
        <w:t>Utilize Title I Academic Coaches, Title I intervention teachers and  Title I paraprofessionals</w:t>
      </w:r>
    </w:p>
    <w:p w:rsidR="00344A2F" w:rsidRPr="00073229" w:rsidRDefault="00344A2F" w:rsidP="00344A2F">
      <w:pPr>
        <w:pStyle w:val="ListParagraph"/>
        <w:numPr>
          <w:ilvl w:val="0"/>
          <w:numId w:val="2"/>
        </w:numPr>
        <w:rPr>
          <w:sz w:val="22"/>
          <w:szCs w:val="22"/>
        </w:rPr>
      </w:pPr>
      <w:r w:rsidRPr="00073229">
        <w:rPr>
          <w:sz w:val="22"/>
          <w:szCs w:val="22"/>
        </w:rPr>
        <w:t xml:space="preserve">Provide “safety nets” by offering </w:t>
      </w:r>
      <w:r w:rsidR="00DB6768" w:rsidRPr="00073229">
        <w:rPr>
          <w:sz w:val="22"/>
          <w:szCs w:val="22"/>
        </w:rPr>
        <w:t xml:space="preserve"> Increased Learning Time</w:t>
      </w:r>
      <w:r w:rsidR="00D21992">
        <w:rPr>
          <w:sz w:val="22"/>
          <w:szCs w:val="22"/>
        </w:rPr>
        <w:t xml:space="preserve"> for academically at-risk students</w:t>
      </w:r>
    </w:p>
    <w:p w:rsidR="00344A2F" w:rsidRPr="00073229" w:rsidRDefault="00344A2F" w:rsidP="00344A2F">
      <w:pPr>
        <w:pStyle w:val="ListParagraph"/>
        <w:numPr>
          <w:ilvl w:val="0"/>
          <w:numId w:val="2"/>
        </w:numPr>
        <w:rPr>
          <w:sz w:val="22"/>
          <w:szCs w:val="22"/>
        </w:rPr>
      </w:pPr>
      <w:r w:rsidRPr="00073229">
        <w:rPr>
          <w:sz w:val="22"/>
          <w:szCs w:val="22"/>
        </w:rPr>
        <w:t>Utilize compute</w:t>
      </w:r>
      <w:r w:rsidR="00D21992">
        <w:rPr>
          <w:sz w:val="22"/>
          <w:szCs w:val="22"/>
        </w:rPr>
        <w:t>r assisted instruction to differentiate instruction and extend learning</w:t>
      </w:r>
    </w:p>
    <w:p w:rsidR="00344A2F" w:rsidRPr="00073229" w:rsidRDefault="00344A2F" w:rsidP="00344A2F">
      <w:pPr>
        <w:pStyle w:val="ListParagraph"/>
        <w:numPr>
          <w:ilvl w:val="0"/>
          <w:numId w:val="2"/>
        </w:numPr>
        <w:rPr>
          <w:sz w:val="22"/>
          <w:szCs w:val="22"/>
        </w:rPr>
      </w:pPr>
      <w:r w:rsidRPr="00073229">
        <w:rPr>
          <w:sz w:val="22"/>
          <w:szCs w:val="22"/>
        </w:rPr>
        <w:t>Use flexible grouping in every classroom</w:t>
      </w:r>
    </w:p>
    <w:p w:rsidR="00B25206" w:rsidRPr="00073229" w:rsidRDefault="00B25206" w:rsidP="00344A2F">
      <w:pPr>
        <w:pStyle w:val="ListParagraph"/>
        <w:numPr>
          <w:ilvl w:val="0"/>
          <w:numId w:val="2"/>
        </w:numPr>
        <w:rPr>
          <w:sz w:val="22"/>
          <w:szCs w:val="22"/>
        </w:rPr>
      </w:pPr>
      <w:r w:rsidRPr="00073229">
        <w:rPr>
          <w:sz w:val="22"/>
          <w:szCs w:val="22"/>
        </w:rPr>
        <w:t>Provide parent</w:t>
      </w:r>
      <w:r w:rsidR="00D21992">
        <w:rPr>
          <w:sz w:val="22"/>
          <w:szCs w:val="22"/>
        </w:rPr>
        <w:t xml:space="preserve"> engagement</w:t>
      </w:r>
      <w:r w:rsidRPr="00073229">
        <w:rPr>
          <w:sz w:val="22"/>
          <w:szCs w:val="22"/>
        </w:rPr>
        <w:t xml:space="preserve"> </w:t>
      </w:r>
      <w:r w:rsidR="00D21992">
        <w:rPr>
          <w:sz w:val="22"/>
          <w:szCs w:val="22"/>
        </w:rPr>
        <w:t>workshops by Title I Family Services Coordinator or parent liaisons</w:t>
      </w:r>
    </w:p>
    <w:p w:rsidR="00B25206" w:rsidRDefault="00B25206" w:rsidP="00344A2F">
      <w:pPr>
        <w:pStyle w:val="ListParagraph"/>
        <w:numPr>
          <w:ilvl w:val="0"/>
          <w:numId w:val="2"/>
        </w:numPr>
        <w:rPr>
          <w:sz w:val="22"/>
          <w:szCs w:val="22"/>
        </w:rPr>
      </w:pPr>
      <w:r w:rsidRPr="00073229">
        <w:rPr>
          <w:sz w:val="22"/>
          <w:szCs w:val="22"/>
        </w:rPr>
        <w:t>Offer professional learning in areas of differentiated instruction, math</w:t>
      </w:r>
      <w:r w:rsidR="00DB6768" w:rsidRPr="00073229">
        <w:rPr>
          <w:sz w:val="22"/>
          <w:szCs w:val="22"/>
        </w:rPr>
        <w:t>ematics</w:t>
      </w:r>
      <w:r w:rsidRPr="00073229">
        <w:rPr>
          <w:sz w:val="22"/>
          <w:szCs w:val="22"/>
        </w:rPr>
        <w:t xml:space="preserve"> and reading</w:t>
      </w:r>
    </w:p>
    <w:p w:rsidR="00D21992" w:rsidRPr="00073229" w:rsidRDefault="00D21992" w:rsidP="00344A2F">
      <w:pPr>
        <w:pStyle w:val="ListParagraph"/>
        <w:numPr>
          <w:ilvl w:val="0"/>
          <w:numId w:val="2"/>
        </w:numPr>
        <w:rPr>
          <w:sz w:val="22"/>
          <w:szCs w:val="22"/>
        </w:rPr>
      </w:pPr>
      <w:r>
        <w:rPr>
          <w:sz w:val="22"/>
          <w:szCs w:val="22"/>
        </w:rPr>
        <w:t>Provide professional learning to teachers to support School Improvement efforts</w:t>
      </w:r>
    </w:p>
    <w:p w:rsidR="00731A04" w:rsidRPr="00073229" w:rsidRDefault="00731A04" w:rsidP="00485F3E">
      <w:pPr>
        <w:rPr>
          <w:sz w:val="22"/>
          <w:szCs w:val="22"/>
        </w:rPr>
      </w:pPr>
    </w:p>
    <w:p w:rsidR="00485F3E" w:rsidRPr="00073229" w:rsidRDefault="00485F3E" w:rsidP="00485F3E">
      <w:pPr>
        <w:rPr>
          <w:sz w:val="22"/>
          <w:szCs w:val="22"/>
        </w:rPr>
      </w:pPr>
      <w:r w:rsidRPr="00073229">
        <w:rPr>
          <w:sz w:val="22"/>
          <w:szCs w:val="22"/>
        </w:rPr>
        <w:t xml:space="preserve">One of the main interventions we will provide </w:t>
      </w:r>
      <w:r w:rsidR="00DF3B19" w:rsidRPr="00073229">
        <w:rPr>
          <w:sz w:val="22"/>
          <w:szCs w:val="22"/>
        </w:rPr>
        <w:t xml:space="preserve">is a Flexible Learning Program (FLP).  Focus Schools are required to develop and </w:t>
      </w:r>
      <w:r w:rsidR="00073229" w:rsidRPr="00073229">
        <w:rPr>
          <w:sz w:val="22"/>
          <w:szCs w:val="22"/>
        </w:rPr>
        <w:t>offer FLP</w:t>
      </w:r>
      <w:r w:rsidR="00DF3B19" w:rsidRPr="00073229">
        <w:rPr>
          <w:sz w:val="22"/>
          <w:szCs w:val="22"/>
        </w:rPr>
        <w:t>.  These programs offer extra academic help to students such as tutoring, remediation</w:t>
      </w:r>
      <w:r w:rsidR="00EA586C" w:rsidRPr="00073229">
        <w:rPr>
          <w:sz w:val="22"/>
          <w:szCs w:val="22"/>
        </w:rPr>
        <w:t>,</w:t>
      </w:r>
      <w:r w:rsidR="00DF3B19" w:rsidRPr="00073229">
        <w:rPr>
          <w:sz w:val="22"/>
          <w:szCs w:val="22"/>
        </w:rPr>
        <w:t xml:space="preserve"> and/or other educational supports.  The goal of the FLP is to increase student learning, grades, and test scores.  </w:t>
      </w:r>
    </w:p>
    <w:p w:rsidR="00344A2F" w:rsidRPr="00073229" w:rsidRDefault="00344A2F" w:rsidP="00485F3E">
      <w:pPr>
        <w:rPr>
          <w:sz w:val="22"/>
          <w:szCs w:val="22"/>
        </w:rPr>
      </w:pPr>
    </w:p>
    <w:p w:rsidR="00344A2F" w:rsidRPr="00073229" w:rsidRDefault="00344A2F" w:rsidP="00485F3E">
      <w:pPr>
        <w:rPr>
          <w:color w:val="FF0000"/>
          <w:sz w:val="22"/>
          <w:szCs w:val="22"/>
        </w:rPr>
      </w:pPr>
      <w:r w:rsidRPr="00073229">
        <w:rPr>
          <w:sz w:val="22"/>
          <w:szCs w:val="22"/>
        </w:rPr>
        <w:t xml:space="preserve">The </w:t>
      </w:r>
      <w:r w:rsidR="00073229" w:rsidRPr="00073229">
        <w:rPr>
          <w:sz w:val="22"/>
          <w:szCs w:val="22"/>
        </w:rPr>
        <w:t>FLP</w:t>
      </w:r>
      <w:r w:rsidRPr="00073229">
        <w:rPr>
          <w:sz w:val="22"/>
          <w:szCs w:val="22"/>
        </w:rPr>
        <w:t xml:space="preserve"> focuses on increasing reading and/or math</w:t>
      </w:r>
      <w:r w:rsidR="00073229">
        <w:rPr>
          <w:sz w:val="22"/>
          <w:szCs w:val="22"/>
        </w:rPr>
        <w:t>ematics</w:t>
      </w:r>
      <w:r w:rsidRPr="00073229">
        <w:rPr>
          <w:sz w:val="22"/>
          <w:szCs w:val="22"/>
        </w:rPr>
        <w:t xml:space="preserve"> achievement for eligible students using research-based strategies.  The FLP strategies may include individualized learning plans, on-going progress monitoring, formative assessment to differentiate instruction, and rigorous activities to increase student achievement.</w:t>
      </w:r>
    </w:p>
    <w:p w:rsidR="00BF1A44" w:rsidRPr="00073229" w:rsidRDefault="00BF1A44" w:rsidP="00485F3E">
      <w:pPr>
        <w:rPr>
          <w:color w:val="FF0000"/>
          <w:sz w:val="22"/>
          <w:szCs w:val="22"/>
        </w:rPr>
      </w:pPr>
    </w:p>
    <w:p w:rsidR="00AD5D2C" w:rsidRDefault="00C510BB" w:rsidP="00485F3E">
      <w:pPr>
        <w:rPr>
          <w:sz w:val="22"/>
          <w:szCs w:val="22"/>
        </w:rPr>
      </w:pPr>
      <w:r w:rsidRPr="00073229">
        <w:rPr>
          <w:sz w:val="22"/>
          <w:szCs w:val="22"/>
        </w:rPr>
        <w:t>P</w:t>
      </w:r>
      <w:r w:rsidR="00485F3E" w:rsidRPr="00073229">
        <w:rPr>
          <w:sz w:val="22"/>
          <w:szCs w:val="22"/>
        </w:rPr>
        <w:t>arent meetings will be held to provide more information on the FLP services being offered at our school.  These meetings will provide you the opportunity to understand the FLP services being provided to your child, as well as provide you with a copy of our school’s written FLP plan.  Please plan t</w:t>
      </w:r>
      <w:r w:rsidR="00B25206" w:rsidRPr="00073229">
        <w:rPr>
          <w:sz w:val="22"/>
          <w:szCs w:val="22"/>
        </w:rPr>
        <w:t xml:space="preserve">o attend the </w:t>
      </w:r>
    </w:p>
    <w:p w:rsidR="00485F3E" w:rsidRPr="00073229" w:rsidRDefault="00B25206" w:rsidP="00485F3E">
      <w:pPr>
        <w:rPr>
          <w:sz w:val="22"/>
          <w:szCs w:val="22"/>
        </w:rPr>
      </w:pPr>
      <w:r w:rsidRPr="00073229">
        <w:rPr>
          <w:sz w:val="22"/>
          <w:szCs w:val="22"/>
        </w:rPr>
        <w:t xml:space="preserve">Title I FLP meeting held in the fall for additional information concerning services and eligibility.  </w:t>
      </w:r>
    </w:p>
    <w:p w:rsidR="00485F3E" w:rsidRPr="00073229" w:rsidRDefault="00485F3E" w:rsidP="00485F3E">
      <w:pPr>
        <w:rPr>
          <w:sz w:val="22"/>
          <w:szCs w:val="22"/>
        </w:rPr>
      </w:pPr>
    </w:p>
    <w:p w:rsidR="001A0C1E" w:rsidRDefault="00440592" w:rsidP="00FC4603">
      <w:pPr>
        <w:rPr>
          <w:sz w:val="22"/>
          <w:szCs w:val="22"/>
        </w:rPr>
      </w:pPr>
      <w:r w:rsidRPr="00073229">
        <w:rPr>
          <w:sz w:val="22"/>
          <w:szCs w:val="22"/>
        </w:rPr>
        <w:t>An important part of</w:t>
      </w:r>
      <w:r w:rsidR="00E3203F" w:rsidRPr="00073229">
        <w:rPr>
          <w:sz w:val="22"/>
          <w:szCs w:val="22"/>
        </w:rPr>
        <w:t xml:space="preserve"> </w:t>
      </w:r>
      <w:r w:rsidR="00C510BB" w:rsidRPr="00073229">
        <w:rPr>
          <w:sz w:val="22"/>
          <w:szCs w:val="22"/>
        </w:rPr>
        <w:t>Davis Elementary School</w:t>
      </w:r>
      <w:r w:rsidRPr="00073229">
        <w:rPr>
          <w:sz w:val="22"/>
          <w:szCs w:val="22"/>
        </w:rPr>
        <w:t>’s success is parent participation and support in developing activities to improve student achievement.  We hope that you will become involved in our school improvement work as we continue to monitor student achievement and set high expectations.  If you are interested in participating in the development of our school improvement plans, being part of our family engagement team or have questions regarding the FLP</w:t>
      </w:r>
      <w:r w:rsidR="00FC4603">
        <w:rPr>
          <w:sz w:val="22"/>
          <w:szCs w:val="22"/>
        </w:rPr>
        <w:t>, please contact the Tit</w:t>
      </w:r>
      <w:r w:rsidR="001A0C1E">
        <w:rPr>
          <w:sz w:val="22"/>
          <w:szCs w:val="22"/>
        </w:rPr>
        <w:t>le I Department at</w:t>
      </w:r>
    </w:p>
    <w:p w:rsidR="00FC4603" w:rsidRDefault="001A0C1E" w:rsidP="00FC4603">
      <w:pPr>
        <w:rPr>
          <w:sz w:val="22"/>
          <w:szCs w:val="22"/>
        </w:rPr>
      </w:pPr>
      <w:r>
        <w:rPr>
          <w:sz w:val="22"/>
          <w:szCs w:val="22"/>
        </w:rPr>
        <w:t>706-748-2090</w:t>
      </w:r>
      <w:r w:rsidR="00FC4603">
        <w:rPr>
          <w:sz w:val="22"/>
          <w:szCs w:val="22"/>
        </w:rPr>
        <w:t>.</w:t>
      </w:r>
    </w:p>
    <w:p w:rsidR="00485F3E" w:rsidRPr="00073229" w:rsidRDefault="00485F3E" w:rsidP="00485F3E">
      <w:pPr>
        <w:rPr>
          <w:color w:val="FF0000"/>
          <w:sz w:val="22"/>
          <w:szCs w:val="22"/>
        </w:rPr>
      </w:pPr>
    </w:p>
    <w:p w:rsidR="00485F3E" w:rsidRPr="00073229" w:rsidRDefault="00344A2F" w:rsidP="00485F3E">
      <w:pPr>
        <w:rPr>
          <w:sz w:val="22"/>
          <w:szCs w:val="22"/>
        </w:rPr>
      </w:pPr>
      <w:r w:rsidRPr="00073229">
        <w:rPr>
          <w:sz w:val="22"/>
          <w:szCs w:val="22"/>
        </w:rPr>
        <w:t>You will receive</w:t>
      </w:r>
      <w:r w:rsidR="00B25206" w:rsidRPr="00073229">
        <w:rPr>
          <w:sz w:val="22"/>
          <w:szCs w:val="22"/>
        </w:rPr>
        <w:t xml:space="preserve"> </w:t>
      </w:r>
      <w:r w:rsidRPr="00073229">
        <w:rPr>
          <w:sz w:val="22"/>
          <w:szCs w:val="22"/>
        </w:rPr>
        <w:t>additional details regarding FLP services an</w:t>
      </w:r>
      <w:r w:rsidR="00AD5D2C">
        <w:rPr>
          <w:sz w:val="22"/>
          <w:szCs w:val="22"/>
        </w:rPr>
        <w:t>d eligibility prior to August 22</w:t>
      </w:r>
      <w:r w:rsidR="000C7838">
        <w:rPr>
          <w:sz w:val="22"/>
          <w:szCs w:val="22"/>
        </w:rPr>
        <w:t>, 2016</w:t>
      </w:r>
      <w:r w:rsidRPr="00073229">
        <w:rPr>
          <w:sz w:val="22"/>
          <w:szCs w:val="22"/>
        </w:rPr>
        <w:t xml:space="preserve">.  </w:t>
      </w:r>
      <w:r w:rsidR="00485F3E" w:rsidRPr="00073229">
        <w:rPr>
          <w:sz w:val="22"/>
          <w:szCs w:val="22"/>
        </w:rPr>
        <w:t>Thank you for all that you do to support your child’s education.</w:t>
      </w:r>
    </w:p>
    <w:p w:rsidR="00485F3E" w:rsidRPr="00073229" w:rsidRDefault="00485F3E" w:rsidP="00485F3E">
      <w:pPr>
        <w:tabs>
          <w:tab w:val="left" w:pos="3057"/>
        </w:tabs>
        <w:rPr>
          <w:sz w:val="22"/>
          <w:szCs w:val="22"/>
        </w:rPr>
      </w:pPr>
    </w:p>
    <w:p w:rsidR="00485F3E" w:rsidRPr="00073229" w:rsidRDefault="00485F3E" w:rsidP="00485F3E">
      <w:pPr>
        <w:rPr>
          <w:sz w:val="22"/>
          <w:szCs w:val="22"/>
        </w:rPr>
      </w:pPr>
      <w:r w:rsidRPr="00073229">
        <w:rPr>
          <w:sz w:val="22"/>
          <w:szCs w:val="22"/>
        </w:rPr>
        <w:t>Sincerely,</w:t>
      </w:r>
    </w:p>
    <w:p w:rsidR="00485F3E" w:rsidRPr="00073229" w:rsidRDefault="00485F3E" w:rsidP="00485F3E">
      <w:pPr>
        <w:rPr>
          <w:sz w:val="22"/>
          <w:szCs w:val="22"/>
        </w:rPr>
      </w:pPr>
    </w:p>
    <w:p w:rsidR="00485F3E" w:rsidRPr="00073229" w:rsidRDefault="00485F3E" w:rsidP="00485F3E">
      <w:pPr>
        <w:rPr>
          <w:sz w:val="22"/>
          <w:szCs w:val="22"/>
        </w:rPr>
      </w:pPr>
    </w:p>
    <w:p w:rsidR="00C510BB" w:rsidRPr="00073229" w:rsidRDefault="00211BA3" w:rsidP="00485F3E">
      <w:pPr>
        <w:rPr>
          <w:sz w:val="22"/>
          <w:szCs w:val="22"/>
        </w:rPr>
      </w:pPr>
      <w:r>
        <w:rPr>
          <w:sz w:val="22"/>
          <w:szCs w:val="22"/>
        </w:rPr>
        <w:t>Ms. Aetavia Williams</w:t>
      </w:r>
    </w:p>
    <w:p w:rsidR="00EC1871" w:rsidRPr="008703D7" w:rsidRDefault="00485F3E" w:rsidP="008703D7">
      <w:pPr>
        <w:rPr>
          <w:sz w:val="22"/>
          <w:szCs w:val="22"/>
        </w:rPr>
      </w:pPr>
      <w:r w:rsidRPr="00073229">
        <w:rPr>
          <w:sz w:val="22"/>
          <w:szCs w:val="22"/>
        </w:rPr>
        <w:t>Principal</w:t>
      </w:r>
    </w:p>
    <w:sectPr w:rsidR="00EC1871" w:rsidRPr="008703D7" w:rsidSect="00DF3B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E50" w:rsidRDefault="006A0E50" w:rsidP="00417E66">
      <w:r>
        <w:separator/>
      </w:r>
    </w:p>
  </w:endnote>
  <w:endnote w:type="continuationSeparator" w:id="0">
    <w:p w:rsidR="006A0E50" w:rsidRDefault="006A0E50"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11" w:rsidRDefault="00426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511" w:rsidRDefault="00517E9C" w:rsidP="007E4511">
    <w:pPr>
      <w:pStyle w:val="Footer"/>
      <w:jc w:val="center"/>
      <w:rPr>
        <w:sz w:val="20"/>
        <w:szCs w:val="16"/>
      </w:rPr>
    </w:pPr>
    <w:r w:rsidRPr="00517E9C">
      <w:rPr>
        <w:sz w:val="20"/>
        <w:szCs w:val="16"/>
      </w:rPr>
      <w:t>Georgia Department of Education</w:t>
    </w:r>
  </w:p>
  <w:p w:rsidR="007E4511" w:rsidRDefault="00720839" w:rsidP="007E4511">
    <w:pPr>
      <w:jc w:val="center"/>
      <w:rPr>
        <w:sz w:val="20"/>
        <w:szCs w:val="16"/>
      </w:rPr>
    </w:pPr>
    <w:r>
      <w:rPr>
        <w:sz w:val="20"/>
        <w:szCs w:val="16"/>
      </w:rPr>
      <w:t>Revised July</w:t>
    </w:r>
    <w:r w:rsidR="00517E9C">
      <w:rPr>
        <w:sz w:val="20"/>
        <w:szCs w:val="16"/>
      </w:rPr>
      <w:t xml:space="preserve"> 2015</w:t>
    </w:r>
    <w:r w:rsidR="007E4511">
      <w:rPr>
        <w:sz w:val="20"/>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11" w:rsidRDefault="00426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E50" w:rsidRDefault="006A0E50" w:rsidP="00417E66">
      <w:r>
        <w:separator/>
      </w:r>
    </w:p>
  </w:footnote>
  <w:footnote w:type="continuationSeparator" w:id="0">
    <w:p w:rsidR="006A0E50" w:rsidRDefault="006A0E50"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11" w:rsidRDefault="00426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0BB" w:rsidRDefault="00C510BB" w:rsidP="00C510BB">
    <w:pPr>
      <w:pStyle w:val="Header"/>
      <w:jc w:val="center"/>
      <w:rPr>
        <w:b/>
      </w:rPr>
    </w:pPr>
    <w:r>
      <w:rPr>
        <w:rFonts w:ascii="Verdana" w:hAnsi="Verdana"/>
        <w:noProof/>
        <w:color w:val="015289"/>
        <w:sz w:val="16"/>
        <w:szCs w:val="16"/>
      </w:rPr>
      <w:drawing>
        <wp:inline distT="0" distB="0" distL="0" distR="0" wp14:anchorId="547AAFA0" wp14:editId="01B065FE">
          <wp:extent cx="1076325" cy="962499"/>
          <wp:effectExtent l="0" t="0" r="0" b="9525"/>
          <wp:docPr id="1" name="Picture 1" descr="https://www.muscogee.k12.ga.us/Style%20Library/MCSD_Images/MCSD_MasterHeader_SealOnly.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scogee.k12.ga.us/Style%20Library/MCSD_Images/MCSD_MasterHeader_SealOnly.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499"/>
                  </a:xfrm>
                  <a:prstGeom prst="rect">
                    <a:avLst/>
                  </a:prstGeom>
                  <a:noFill/>
                  <a:ln>
                    <a:noFill/>
                  </a:ln>
                </pic:spPr>
              </pic:pic>
            </a:graphicData>
          </a:graphic>
        </wp:inline>
      </w:drawing>
    </w:r>
  </w:p>
  <w:p w:rsidR="00C510BB" w:rsidRDefault="00C510BB" w:rsidP="00C510BB">
    <w:pPr>
      <w:pStyle w:val="Header"/>
      <w:jc w:val="center"/>
      <w:rPr>
        <w:b/>
      </w:rPr>
    </w:pPr>
    <w:r>
      <w:rPr>
        <w:b/>
      </w:rPr>
      <w:t>Muscogee County School District</w:t>
    </w:r>
  </w:p>
  <w:p w:rsidR="00C510BB" w:rsidRDefault="00C510BB" w:rsidP="00C510BB">
    <w:pPr>
      <w:pStyle w:val="Header"/>
      <w:jc w:val="center"/>
      <w:rPr>
        <w:b/>
      </w:rPr>
    </w:pPr>
    <w:r>
      <w:rPr>
        <w:b/>
      </w:rPr>
      <w:t>2960 Macon Road</w:t>
    </w:r>
  </w:p>
  <w:p w:rsidR="003B5AC7" w:rsidRPr="00C510BB" w:rsidRDefault="00C510BB" w:rsidP="00C510BB">
    <w:pPr>
      <w:pStyle w:val="Header"/>
      <w:jc w:val="center"/>
      <w:rPr>
        <w:b/>
      </w:rPr>
    </w:pPr>
    <w:r>
      <w:rPr>
        <w:b/>
      </w:rPr>
      <w:t>Columbus, Georgia 31906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11" w:rsidRDefault="00426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275"/>
    <w:multiLevelType w:val="hybridMultilevel"/>
    <w:tmpl w:val="DA9E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09"/>
    <w:rsid w:val="000268F3"/>
    <w:rsid w:val="00026D4F"/>
    <w:rsid w:val="0004251E"/>
    <w:rsid w:val="00062848"/>
    <w:rsid w:val="00067BC6"/>
    <w:rsid w:val="00073229"/>
    <w:rsid w:val="000C7838"/>
    <w:rsid w:val="0019034A"/>
    <w:rsid w:val="001A0C1E"/>
    <w:rsid w:val="001A1B41"/>
    <w:rsid w:val="001C31C9"/>
    <w:rsid w:val="00211BA3"/>
    <w:rsid w:val="00220DE3"/>
    <w:rsid w:val="00237502"/>
    <w:rsid w:val="00241472"/>
    <w:rsid w:val="00297A03"/>
    <w:rsid w:val="002D03B0"/>
    <w:rsid w:val="003255C9"/>
    <w:rsid w:val="00344A2F"/>
    <w:rsid w:val="00371B07"/>
    <w:rsid w:val="003B4150"/>
    <w:rsid w:val="003B5AC7"/>
    <w:rsid w:val="00417E66"/>
    <w:rsid w:val="00426311"/>
    <w:rsid w:val="00440592"/>
    <w:rsid w:val="00444B13"/>
    <w:rsid w:val="0045494B"/>
    <w:rsid w:val="0047194D"/>
    <w:rsid w:val="00485F3E"/>
    <w:rsid w:val="004A3FAE"/>
    <w:rsid w:val="004C1C26"/>
    <w:rsid w:val="004F10A9"/>
    <w:rsid w:val="00517E9C"/>
    <w:rsid w:val="0055060D"/>
    <w:rsid w:val="00583FE3"/>
    <w:rsid w:val="00595EC3"/>
    <w:rsid w:val="005A608D"/>
    <w:rsid w:val="005B03F5"/>
    <w:rsid w:val="005C2BA5"/>
    <w:rsid w:val="00612E16"/>
    <w:rsid w:val="00666D0F"/>
    <w:rsid w:val="00667821"/>
    <w:rsid w:val="00681E25"/>
    <w:rsid w:val="006A0E50"/>
    <w:rsid w:val="006A217D"/>
    <w:rsid w:val="006B3C09"/>
    <w:rsid w:val="006B6D7B"/>
    <w:rsid w:val="00720839"/>
    <w:rsid w:val="00731A04"/>
    <w:rsid w:val="00747FD0"/>
    <w:rsid w:val="00766D94"/>
    <w:rsid w:val="007C579E"/>
    <w:rsid w:val="007E4511"/>
    <w:rsid w:val="00802797"/>
    <w:rsid w:val="008703D7"/>
    <w:rsid w:val="008D11E6"/>
    <w:rsid w:val="008D3F6B"/>
    <w:rsid w:val="008E14BB"/>
    <w:rsid w:val="00993009"/>
    <w:rsid w:val="00994093"/>
    <w:rsid w:val="009C5788"/>
    <w:rsid w:val="009E6D01"/>
    <w:rsid w:val="00A459B6"/>
    <w:rsid w:val="00A7150B"/>
    <w:rsid w:val="00AD5D2C"/>
    <w:rsid w:val="00AE7A9B"/>
    <w:rsid w:val="00AF5928"/>
    <w:rsid w:val="00B25206"/>
    <w:rsid w:val="00B558A4"/>
    <w:rsid w:val="00B67909"/>
    <w:rsid w:val="00BD148A"/>
    <w:rsid w:val="00BF1A44"/>
    <w:rsid w:val="00C510BB"/>
    <w:rsid w:val="00C92FDD"/>
    <w:rsid w:val="00CD12E5"/>
    <w:rsid w:val="00CF0488"/>
    <w:rsid w:val="00CF2A88"/>
    <w:rsid w:val="00CF60D4"/>
    <w:rsid w:val="00D03DDA"/>
    <w:rsid w:val="00D21992"/>
    <w:rsid w:val="00D621BF"/>
    <w:rsid w:val="00D76700"/>
    <w:rsid w:val="00D934C5"/>
    <w:rsid w:val="00DA08CD"/>
    <w:rsid w:val="00DB3D0F"/>
    <w:rsid w:val="00DB6768"/>
    <w:rsid w:val="00DC2C37"/>
    <w:rsid w:val="00DC41D7"/>
    <w:rsid w:val="00DC5696"/>
    <w:rsid w:val="00DE54E5"/>
    <w:rsid w:val="00DF3B19"/>
    <w:rsid w:val="00E3203F"/>
    <w:rsid w:val="00E322DD"/>
    <w:rsid w:val="00E430CC"/>
    <w:rsid w:val="00E45D33"/>
    <w:rsid w:val="00E50EF1"/>
    <w:rsid w:val="00E62E2B"/>
    <w:rsid w:val="00EA21F7"/>
    <w:rsid w:val="00EA586C"/>
    <w:rsid w:val="00EB4D19"/>
    <w:rsid w:val="00EC1871"/>
    <w:rsid w:val="00EC6171"/>
    <w:rsid w:val="00ED65D9"/>
    <w:rsid w:val="00EF0738"/>
    <w:rsid w:val="00F126CF"/>
    <w:rsid w:val="00FC4603"/>
    <w:rsid w:val="00FD046A"/>
    <w:rsid w:val="00FF2930"/>
    <w:rsid w:val="00F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8D6AFE-1C82-43A7-833B-FA752E6A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510B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95342">
      <w:bodyDiv w:val="1"/>
      <w:marLeft w:val="0"/>
      <w:marRight w:val="0"/>
      <w:marTop w:val="0"/>
      <w:marBottom w:val="0"/>
      <w:divBdr>
        <w:top w:val="none" w:sz="0" w:space="0" w:color="auto"/>
        <w:left w:val="none" w:sz="0" w:space="0" w:color="auto"/>
        <w:bottom w:val="none" w:sz="0" w:space="0" w:color="auto"/>
        <w:right w:val="none" w:sz="0" w:space="0" w:color="auto"/>
      </w:divBdr>
    </w:div>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686907506">
      <w:bodyDiv w:val="1"/>
      <w:marLeft w:val="0"/>
      <w:marRight w:val="0"/>
      <w:marTop w:val="0"/>
      <w:marBottom w:val="0"/>
      <w:divBdr>
        <w:top w:val="none" w:sz="0" w:space="0" w:color="auto"/>
        <w:left w:val="none" w:sz="0" w:space="0" w:color="auto"/>
        <w:bottom w:val="none" w:sz="0" w:space="0" w:color="auto"/>
        <w:right w:val="none" w:sz="0" w:space="0" w:color="auto"/>
      </w:divBdr>
    </w:div>
    <w:div w:id="824396664">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muscogee.k12.ga.us/Pages/MCSD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8CD76FB-FF2B-4284-8683-78131AEFE98F}">
  <ds:schemaRefs>
    <ds:schemaRef ds:uri="http://schemas.microsoft.com/office/2006/metadata/properties"/>
    <ds:schemaRef ds:uri="http://schemas.microsoft.com/office/infopath/2007/PartnerControls"/>
    <ds:schemaRef ds:uri="b7527f4a-27d2-4365-bb00-5557e26fcc68"/>
    <ds:schemaRef ds:uri="http://schemas.microsoft.com/sharepoint/v3"/>
    <ds:schemaRef ds:uri="1d496aed-39d0-4758-b3cf-4e4773287716"/>
  </ds:schemaRefs>
</ds:datastoreItem>
</file>

<file path=customXml/itemProps2.xml><?xml version="1.0" encoding="utf-8"?>
<ds:datastoreItem xmlns:ds="http://schemas.openxmlformats.org/officeDocument/2006/customXml" ds:itemID="{49DE16D2-5F02-4392-AEC9-B7730369A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66B90-9320-41DE-8191-267DC2ED1F7C}">
  <ds:schemaRefs>
    <ds:schemaRef ds:uri="http://schemas.microsoft.com/sharepoint/v3/contenttype/forms"/>
  </ds:schemaRefs>
</ds:datastoreItem>
</file>

<file path=customXml/itemProps4.xml><?xml version="1.0" encoding="utf-8"?>
<ds:datastoreItem xmlns:ds="http://schemas.openxmlformats.org/officeDocument/2006/customXml" ds:itemID="{566318D9-D43D-4563-A5A2-95104D28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Webster Shea M</cp:lastModifiedBy>
  <cp:revision>2</cp:revision>
  <cp:lastPrinted>2017-01-20T13:28:00Z</cp:lastPrinted>
  <dcterms:created xsi:type="dcterms:W3CDTF">2017-01-22T23:56:00Z</dcterms:created>
  <dcterms:modified xsi:type="dcterms:W3CDTF">2017-01-22T23:56:00Z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